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31bis</w:t>
      </w:r>
      <w:r>
        <w:rPr>
          <w:rFonts w:hint="eastAsia" w:ascii="Arial" w:hAnsi="Arial" w:eastAsia="宋体" w:cs="Times New Roman"/>
          <w:b/>
          <w:sz w:val="24"/>
          <w:szCs w:val="24"/>
          <w:lang w:val="en-US" w:eastAsia="zh-CN" w:bidi="ar-SA"/>
        </w:rPr>
        <w:t xml:space="preserve">                           R2-2506944</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 xml:space="preserve">Prague, Czech Republic, </w:t>
      </w:r>
      <w:r>
        <w:rPr>
          <w:rFonts w:hint="default" w:ascii="Arial" w:hAnsi="Arial" w:eastAsia="MS Mincho" w:cs="Arial"/>
          <w:b/>
          <w:sz w:val="24"/>
          <w:szCs w:val="24"/>
          <w:lang w:val="en-US" w:eastAsia="zh-CN" w:bidi="ar-SA"/>
        </w:rPr>
        <w:t>Oct</w:t>
      </w:r>
      <w:r>
        <w:rPr>
          <w:rFonts w:hint="default" w:ascii="Arial" w:hAnsi="Arial" w:eastAsia="MS Mincho" w:cs="Arial"/>
          <w:b/>
          <w:bCs w:val="0"/>
          <w:sz w:val="24"/>
          <w:szCs w:val="24"/>
          <w:lang w:val="en-US" w:eastAsia="zh-CN" w:bidi="ar-SA"/>
        </w:rPr>
        <w:t>.</w:t>
      </w:r>
      <w:r>
        <w:rPr>
          <w:rFonts w:ascii="Arial" w:hAnsi="Arial" w:cs="Arial"/>
          <w:b/>
          <w:bCs w:val="0"/>
          <w:sz w:val="24"/>
          <w:lang w:val="en-US"/>
        </w:rPr>
        <w:t>13</w:t>
      </w:r>
      <w:r>
        <w:rPr>
          <w:rFonts w:ascii="Arial" w:hAnsi="Arial" w:cs="Arial"/>
          <w:b/>
          <w:bCs w:val="0"/>
          <w:sz w:val="24"/>
          <w:vertAlign w:val="superscript"/>
          <w:lang w:val="en-US"/>
        </w:rPr>
        <w:t>th</w:t>
      </w:r>
      <w:r>
        <w:rPr>
          <w:rFonts w:ascii="Arial" w:hAnsi="Arial" w:cs="Arial"/>
          <w:b/>
          <w:bCs w:val="0"/>
          <w:sz w:val="24"/>
          <w:lang w:val="en-US"/>
        </w:rPr>
        <w:t>-17</w:t>
      </w:r>
      <w:r>
        <w:rPr>
          <w:rFonts w:ascii="Arial" w:hAnsi="Arial" w:cs="Arial"/>
          <w:b/>
          <w:bCs w:val="0"/>
          <w:sz w:val="24"/>
          <w:vertAlign w:val="superscript"/>
          <w:lang w:val="en-US"/>
        </w:rPr>
        <w:t>th</w:t>
      </w:r>
      <w:r>
        <w:rPr>
          <w:rFonts w:hint="eastAsia" w:ascii="Arial" w:hAnsi="Arial" w:eastAsia="MS Mincho" w:cs="Times New Roman"/>
          <w:b/>
          <w:bCs w:val="0"/>
          <w:sz w:val="24"/>
          <w:szCs w:val="24"/>
          <w:lang w:val="en-US" w:eastAsia="zh-CN" w:bidi="ar-SA"/>
        </w:rPr>
        <w:t xml:space="preserve">, </w:t>
      </w:r>
      <w:r>
        <w:rPr>
          <w:rFonts w:hint="eastAsia" w:ascii="Arial" w:hAnsi="Arial" w:eastAsia="MS Mincho" w:cs="Times New Roman"/>
          <w:b/>
          <w:sz w:val="24"/>
          <w:szCs w:val="24"/>
          <w:lang w:val="en-US" w:eastAsia="zh-CN" w:bidi="ar-SA"/>
        </w:rPr>
        <w:t>2025</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8.9.4</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bookmarkStart w:id="1" w:name="OLE_LINK1"/>
      <w:r>
        <w:rPr>
          <w:rFonts w:hint="eastAsia" w:ascii="Arial" w:hAnsi="Arial" w:cs="Arial" w:eastAsiaTheme="minorEastAsia"/>
          <w:b/>
          <w:sz w:val="24"/>
          <w:szCs w:val="24"/>
          <w:lang w:val="en-US" w:eastAsia="zh-CN" w:bidi="ar-SA"/>
        </w:rPr>
        <w:t>D</w:t>
      </w:r>
      <w:r>
        <w:rPr>
          <w:rFonts w:ascii="Arial" w:hAnsi="Arial" w:cs="Arial" w:eastAsiaTheme="minorEastAsia"/>
          <w:b/>
          <w:sz w:val="24"/>
          <w:szCs w:val="24"/>
          <w:lang w:val="en-US" w:eastAsia="zh-CN" w:bidi="ar-SA"/>
        </w:rPr>
        <w:t xml:space="preserve">iscussion on </w:t>
      </w:r>
      <w:bookmarkEnd w:id="0"/>
      <w:r>
        <w:rPr>
          <w:rFonts w:hint="eastAsia" w:ascii="Arial" w:hAnsi="Arial" w:cs="Arial" w:eastAsiaTheme="minorEastAsia"/>
          <w:b/>
          <w:sz w:val="24"/>
          <w:szCs w:val="24"/>
          <w:lang w:val="en-US" w:eastAsia="zh-CN" w:bidi="ar-SA"/>
        </w:rPr>
        <w:t>remaining issues on Store&amp;Forward</w:t>
      </w:r>
      <w:bookmarkEnd w:id="1"/>
      <w:r>
        <w:rPr>
          <w:rFonts w:hint="eastAsia" w:ascii="Arial" w:hAnsi="Arial" w:eastAsia="宋体" w:cs="Arial"/>
          <w:b/>
          <w:bCs/>
          <w:sz w:val="24"/>
          <w:szCs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rPr>
          <w:rFonts w:hint="eastAsia"/>
        </w:rPr>
      </w:pPr>
      <w:r>
        <w:rPr>
          <w:rFonts w:hint="eastAsia"/>
        </w:rPr>
        <w:t>In the last RAN2#1</w:t>
      </w:r>
      <w:r>
        <w:rPr>
          <w:rFonts w:hint="eastAsia" w:eastAsia="宋体"/>
          <w:lang w:val="en-US" w:eastAsia="zh-CN"/>
        </w:rPr>
        <w:t>31</w:t>
      </w:r>
      <w:r>
        <w:rPr>
          <w:rFonts w:hint="eastAsia"/>
        </w:rPr>
        <w:t xml:space="preserve"> meeting, the support of Store&amp;Forward for IoT-NTN was discussed, and the following agreements were made[1]: </w:t>
      </w:r>
    </w:p>
    <w:p>
      <w:pPr>
        <w:rPr>
          <w:rFonts w:hint="eastAsia"/>
        </w:rPr>
      </w:pPr>
    </w:p>
    <w:p>
      <w:pPr>
        <w:pStyle w:val="41"/>
        <w:pBdr>
          <w:top w:val="single" w:color="auto" w:sz="4" w:space="1"/>
          <w:left w:val="single" w:color="auto" w:sz="4" w:space="4"/>
          <w:bottom w:val="single" w:color="auto" w:sz="4" w:space="1"/>
          <w:right w:val="single" w:color="auto" w:sz="4" w:space="4"/>
        </w:pBdr>
      </w:pPr>
      <w:r>
        <w:t>Agreements:</w:t>
      </w:r>
    </w:p>
    <w:p>
      <w:pPr>
        <w:pStyle w:val="41"/>
        <w:pBdr>
          <w:top w:val="single" w:color="auto" w:sz="4" w:space="1"/>
          <w:left w:val="single" w:color="auto" w:sz="4" w:space="4"/>
          <w:bottom w:val="single" w:color="auto" w:sz="4" w:space="1"/>
          <w:right w:val="single" w:color="auto" w:sz="4" w:space="4"/>
        </w:pBdr>
      </w:pPr>
      <w:r>
        <w:t>1.</w:t>
      </w:r>
      <w:r>
        <w:tab/>
      </w:r>
      <w:r>
        <w:t>The UE forwards the S&amp;F mode indication (e.g. sf-OperationMode) to upper layers upon acquiring it from SIB1(-NB). RAN2 to capture this UE behavior in 3GPP TS 36.331, sub-clause 5.2.2.7.</w:t>
      </w:r>
    </w:p>
    <w:p>
      <w:pPr>
        <w:pStyle w:val="41"/>
        <w:pBdr>
          <w:top w:val="single" w:color="auto" w:sz="4" w:space="1"/>
          <w:left w:val="single" w:color="auto" w:sz="4" w:space="4"/>
          <w:bottom w:val="single" w:color="auto" w:sz="4" w:space="1"/>
          <w:right w:val="single" w:color="auto" w:sz="4" w:space="4"/>
        </w:pBdr>
      </w:pPr>
      <w:r>
        <w:t>2.</w:t>
      </w:r>
      <w:r>
        <w:tab/>
      </w:r>
      <w:r>
        <w:t>The S&amp;F mode indication (i.e., sf-OperationMode) and the S&amp;F mode transition time (i.e., t-ModeSwitching) of the neighbor satellite are signaled in SIB33 per neighbor satellite.</w:t>
      </w:r>
    </w:p>
    <w:p>
      <w:pPr>
        <w:pStyle w:val="41"/>
        <w:pBdr>
          <w:top w:val="single" w:color="auto" w:sz="4" w:space="1"/>
          <w:left w:val="single" w:color="auto" w:sz="4" w:space="4"/>
          <w:bottom w:val="single" w:color="auto" w:sz="4" w:space="1"/>
          <w:right w:val="single" w:color="auto" w:sz="4" w:space="4"/>
        </w:pBdr>
      </w:pPr>
      <w:r>
        <w:t>3.</w:t>
      </w:r>
      <w:r>
        <w:tab/>
      </w:r>
      <w:r>
        <w:t>A Rel-19 UE may deprioritize the neighbor cells operating in the S&amp;F mode (FFS on the detailed specification impact, i.e. whether a note is sufficient or some normative text. To be considered in the post meeting CR review)</w:t>
      </w:r>
    </w:p>
    <w:p>
      <w:pPr>
        <w:pStyle w:val="41"/>
        <w:pBdr>
          <w:top w:val="single" w:color="auto" w:sz="4" w:space="1"/>
          <w:left w:val="single" w:color="auto" w:sz="4" w:space="4"/>
          <w:bottom w:val="single" w:color="auto" w:sz="4" w:space="1"/>
          <w:right w:val="single" w:color="auto" w:sz="4" w:space="4"/>
        </w:pBdr>
      </w:pPr>
      <w:r>
        <w:t>4.</w:t>
      </w:r>
      <w:r>
        <w:tab/>
      </w:r>
      <w:r>
        <w:t>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w:t>
      </w:r>
    </w:p>
    <w:p>
      <w:pPr>
        <w:pStyle w:val="41"/>
        <w:pBdr>
          <w:top w:val="single" w:color="auto" w:sz="4" w:space="1"/>
          <w:left w:val="single" w:color="auto" w:sz="4" w:space="4"/>
          <w:bottom w:val="single" w:color="auto" w:sz="4" w:space="1"/>
          <w:right w:val="single" w:color="auto" w:sz="4" w:space="4"/>
        </w:pBdr>
      </w:pPr>
      <w:r>
        <w:t>5.</w:t>
      </w:r>
      <w:r>
        <w:tab/>
      </w:r>
      <w:r>
        <w:t>We don’t increase the size of satellite ID and or define any new satellite ID as part of this Rel-19 WI</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eastAsia="宋体" w:cs="Arial"/>
          <w:szCs w:val="20"/>
          <w:lang w:val="en-US" w:eastAsia="zh-CN"/>
        </w:rPr>
        <w:t xml:space="preserve">There are still some issues left for further discussion. </w:t>
      </w:r>
      <w:r>
        <w:rPr>
          <w:rFonts w:hint="eastAsia" w:ascii="Arial" w:hAnsi="Arial" w:cs="Arial"/>
          <w:szCs w:val="20"/>
        </w:rPr>
        <w:t xml:space="preserve">In this contribution, we provide our views on </w:t>
      </w:r>
      <w:r>
        <w:rPr>
          <w:rFonts w:hint="eastAsia" w:ascii="Arial" w:hAnsi="Arial" w:eastAsia="宋体" w:cs="Arial"/>
          <w:szCs w:val="20"/>
          <w:lang w:val="en-US" w:eastAsia="zh-CN"/>
        </w:rPr>
        <w:t>these issues</w:t>
      </w:r>
      <w:r>
        <w:rPr>
          <w:rFonts w:hint="eastAsia" w:ascii="Arial" w:hAnsi="Arial" w:eastAsia="MS Mincho" w:cs="Arial"/>
          <w:sz w:val="21"/>
          <w:szCs w:val="20"/>
          <w:lang w:val="en-US" w:eastAsia="zh-CN"/>
        </w:rPr>
        <w:t>.</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R</w:t>
      </w:r>
      <w:r>
        <w:rPr>
          <w:rFonts w:hint="default"/>
          <w:lang w:val="en-US" w:eastAsia="zh-CN"/>
        </w:rPr>
        <w:t>elaxation of IDLE mode task based on the S&amp;F monitoring list</w:t>
      </w:r>
    </w:p>
    <w:p>
      <w:pPr>
        <w:rPr>
          <w:rFonts w:hint="default"/>
          <w:lang w:val="en-US" w:eastAsia="zh-CN"/>
        </w:rPr>
      </w:pPr>
    </w:p>
    <w:p>
      <w:pPr>
        <w:spacing w:line="360" w:lineRule="auto"/>
        <w:rPr>
          <w:rFonts w:hint="eastAsia" w:ascii="Arial" w:hAnsi="Arial" w:cs="Arial" w:eastAsiaTheme="minorEastAsia"/>
          <w:bCs/>
          <w:sz w:val="20"/>
          <w:szCs w:val="20"/>
          <w:lang w:val="en-US" w:eastAsia="zh-CN"/>
        </w:rPr>
      </w:pPr>
      <w:r>
        <w:rPr>
          <w:rFonts w:hint="eastAsia" w:ascii="Arial" w:hAnsi="Arial" w:cs="Arial" w:eastAsiaTheme="minorEastAsia"/>
          <w:bCs/>
          <w:szCs w:val="20"/>
          <w:lang w:val="en-US" w:eastAsia="zh-CN"/>
        </w:rPr>
        <w:t>In last meeting, the usage of NAS configured satellite list for idle mode relaxation such as paging monitoring was discussed and no consensus was concluded. The main concern is whether it should be up to UE implementation when receiving the S&amp;F moni</w:t>
      </w:r>
      <w:r>
        <w:rPr>
          <w:rFonts w:hint="eastAsia" w:ascii="Arial" w:hAnsi="Arial" w:cs="Arial" w:eastAsiaTheme="minorEastAsia"/>
          <w:bCs/>
          <w:sz w:val="20"/>
          <w:szCs w:val="20"/>
          <w:lang w:val="en-US" w:eastAsia="zh-CN"/>
        </w:rPr>
        <w:t>toring list as indicated in th NOTE7 by SA2. Following is the text in TS23.401 related to NAS provided information related to SF mode operation and the relevant notes.</w:t>
      </w:r>
    </w:p>
    <w:p>
      <w:pPr>
        <w:spacing w:line="360" w:lineRule="auto"/>
        <w:rPr>
          <w:rFonts w:hint="eastAsia" w:ascii="Arial" w:hAnsi="Arial" w:cs="Arial" w:eastAsiaTheme="minorEastAsia"/>
          <w:bCs/>
          <w:szCs w:val="20"/>
          <w:lang w:val="en-US" w:eastAsia="zh-CN"/>
        </w:rPr>
      </w:pPr>
    </w:p>
    <w:tbl>
      <w:tblPr>
        <w:tblStyle w:val="23"/>
        <w:tblW w:w="8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8540" w:type="dxa"/>
          </w:tcPr>
          <w:p>
            <w:pPr>
              <w:keepNext w:val="0"/>
              <w:keepLines w:val="0"/>
              <w:widowControl/>
              <w:suppressLineNumbers w:val="0"/>
              <w:spacing w:before="0" w:beforeAutospacing="0" w:after="0" w:afterAutospacing="0"/>
              <w:ind w:left="0"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For a UE which indicates support of Store and Forward Satellite operation and when an MME is operating in S&amp;F Mode:</w:t>
            </w:r>
          </w:p>
          <w:p>
            <w:pPr>
              <w:pStyle w:val="72"/>
              <w:keepNext w:val="0"/>
              <w:keepLines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w:t>
            </w: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pPr>
              <w:pStyle w:val="72"/>
              <w:keepNext w:val="0"/>
              <w:keepLines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w:t>
            </w: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If the UE is rejected with a reject cause indicating it is due to S&amp;F operation, the UE’s EMM state shall remain unchanged.</w:t>
            </w:r>
          </w:p>
          <w:p>
            <w:pPr>
              <w:pStyle w:val="72"/>
              <w:keepNext w:val="0"/>
              <w:keepLines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w:t>
            </w: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The MME may provide to the UE a S&amp;F Wait Timer, a S&amp;F Monitoring List or both when accepting or rejecting a NAS procedure. The MME may provide S&amp;F Monitoring List to the UE as part of detach procedure.</w:t>
            </w:r>
          </w:p>
          <w:p>
            <w:pPr>
              <w:pStyle w:val="78"/>
              <w:keepNext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NOTE 4:</w:t>
            </w: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pPr>
              <w:pStyle w:val="72"/>
              <w:keepNext w:val="0"/>
              <w:keepLines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w:t>
            </w: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When the S&amp;F Wait Timer expires, the UE may perform a NAS procedure, which can be a subsequent NAS procedure or a reattempt of a NAS procedure previously rejected with a S&amp;F reject cause, with a satellite of the same PLMN that is operating in S&amp;F Mode.</w:t>
            </w:r>
          </w:p>
          <w:p>
            <w:pPr>
              <w:pStyle w:val="78"/>
              <w:keepNext w:val="0"/>
              <w:widowControl/>
              <w:suppressLineNumbers w:val="0"/>
              <w:spacing w:before="0" w:beforeAutospacing="0" w:afterAutospacing="0"/>
              <w:ind w:right="0"/>
              <w:rPr>
                <w:rFonts w:hint="eastAsia" w:asciiTheme="minorHAnsi" w:hAnsiTheme="minorHAnsi" w:cstheme="minorBidi"/>
                <w:sz w:val="20"/>
                <w:highlight w:val="none"/>
                <w:lang w:val="en-IN" w:eastAsia="en-IN" w:bidi="ta-IN"/>
              </w:rPr>
            </w:pPr>
            <w:r>
              <w:rPr>
                <w:rFonts w:hint="eastAsia" w:asciiTheme="minorHAnsi" w:hAnsiTheme="minorHAnsi" w:cstheme="minorBidi"/>
                <w:sz w:val="20"/>
                <w:highlight w:val="none"/>
                <w:lang w:val="en-IN" w:eastAsia="en-IN" w:bidi="ta-IN"/>
              </w:rPr>
              <w:t>NOTE 5:</w:t>
            </w:r>
            <w:r>
              <w:rPr>
                <w:rFonts w:hint="eastAsia" w:asciiTheme="minorHAnsi" w:hAnsiTheme="minorHAnsi" w:cstheme="minorBidi"/>
                <w:sz w:val="20"/>
                <w:highlight w:val="none"/>
                <w:lang w:val="en-IN" w:eastAsia="en-IN" w:bidi="ta-IN"/>
              </w:rPr>
              <w:tab/>
            </w:r>
            <w:r>
              <w:rPr>
                <w:rFonts w:hint="eastAsia" w:asciiTheme="minorHAnsi" w:hAnsiTheme="minorHAnsi" w:cstheme="minorBidi"/>
                <w:sz w:val="20"/>
                <w:highlight w:val="none"/>
                <w:lang w:val="en-IN" w:eastAsia="en-IN" w:bidi="ta-IN"/>
              </w:rPr>
              <w:t>When the S&amp;F Wait Timer is running, the power consumption optimization behaviours, if any, are left for UE implementation e.g. whether to listen to paging or deactivate its Access Stratum functions.</w:t>
            </w:r>
          </w:p>
          <w:p>
            <w:pPr>
              <w:pStyle w:val="72"/>
              <w:keepNext w:val="0"/>
              <w:keepLines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The S&amp;F Monitoring List includes satellite(s) which belong to the same PLMN and indicates the satellite(s) that the UE may (re)attempt NAS procedures or receive MT data from.</w:t>
            </w:r>
          </w:p>
          <w:p>
            <w:pPr>
              <w:pStyle w:val="72"/>
              <w:keepNext w:val="0"/>
              <w:keepLines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w:t>
            </w: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The MME may indicate to the UE that it should delete any previously provided S&amp;F Monitoring List for the current PLMN. When the S&amp;F Monitoring List is deleted then the UE may use any satellite(s).</w:t>
            </w:r>
          </w:p>
          <w:p>
            <w:pPr>
              <w:pStyle w:val="78"/>
              <w:keepNext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NOTE 6:</w:t>
            </w: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The S&amp;F Wait Timer or S&amp;F Monitoring List doesn’t affect the UE when accessing an eNodeB that does not broadcast an indication of operating in S&amp;F Mode.</w:t>
            </w:r>
          </w:p>
          <w:p>
            <w:pPr>
              <w:pStyle w:val="78"/>
              <w:keepNext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highlight w:val="yellow"/>
                <w:lang w:val="en-IN" w:eastAsia="en-IN" w:bidi="ta-IN"/>
              </w:rPr>
              <w:t>NOTE 7:</w:t>
            </w:r>
            <w:r>
              <w:rPr>
                <w:rFonts w:hint="eastAsia" w:asciiTheme="minorHAnsi" w:hAnsiTheme="minorHAnsi" w:cstheme="minorBidi"/>
                <w:sz w:val="20"/>
                <w:highlight w:val="yellow"/>
                <w:lang w:val="en-IN" w:eastAsia="en-IN" w:bidi="ta-IN"/>
              </w:rPr>
              <w:tab/>
            </w:r>
            <w:r>
              <w:rPr>
                <w:rFonts w:hint="eastAsia" w:asciiTheme="minorHAnsi" w:hAnsiTheme="minorHAnsi" w:cstheme="minorBidi"/>
                <w:sz w:val="20"/>
                <w:highlight w:val="yellow"/>
                <w:lang w:val="en-IN" w:eastAsia="en-IN" w:bidi="ta-IN"/>
              </w:rPr>
              <w:t>How UE behaves when receiving the S&amp;F Monitoring List is up to UE implementation.</w:t>
            </w:r>
            <w:r>
              <w:rPr>
                <w:rFonts w:hint="eastAsia" w:asciiTheme="minorHAnsi" w:hAnsiTheme="minorHAnsi" w:cstheme="minorBidi"/>
                <w:sz w:val="20"/>
                <w:lang w:val="en-IN" w:eastAsia="en-IN" w:bidi="ta-IN"/>
              </w:rPr>
              <w:t xml:space="preserve">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pPr>
              <w:pStyle w:val="72"/>
              <w:keepNext w:val="0"/>
              <w:keepLines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w:t>
            </w: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The MME may indicate to the UE an Estimated S&amp;F UL Delivery Time in a NAS accept messages (i.e. Attach Accept, TAU Accept or Service Accept messages).</w:t>
            </w:r>
          </w:p>
          <w:p>
            <w:pPr>
              <w:pStyle w:val="78"/>
              <w:keepNext w:val="0"/>
              <w:widowControl/>
              <w:suppressLineNumbers w:val="0"/>
              <w:spacing w:before="0" w:beforeAutospacing="0" w:afterAutospacing="0"/>
              <w:ind w:right="0"/>
              <w:rPr>
                <w:rFonts w:hint="eastAsia" w:asciiTheme="minorHAnsi" w:hAnsiTheme="minorHAnsi" w:cstheme="minorBidi"/>
                <w:sz w:val="20"/>
                <w:lang w:val="en-IN" w:eastAsia="en-IN" w:bidi="ta-IN"/>
              </w:rPr>
            </w:pPr>
            <w:r>
              <w:rPr>
                <w:rFonts w:hint="eastAsia" w:asciiTheme="minorHAnsi" w:hAnsiTheme="minorHAnsi" w:cstheme="minorBidi"/>
                <w:sz w:val="20"/>
                <w:lang w:val="en-IN" w:eastAsia="en-IN" w:bidi="ta-IN"/>
              </w:rPr>
              <w:t>NOTE 8:</w:t>
            </w:r>
            <w:r>
              <w:rPr>
                <w:rFonts w:hint="eastAsia" w:asciiTheme="minorHAnsi" w:hAnsiTheme="minorHAnsi" w:cstheme="minorBidi"/>
                <w:sz w:val="20"/>
                <w:lang w:val="en-IN" w:eastAsia="en-IN" w:bidi="ta-IN"/>
              </w:rPr>
              <w:tab/>
            </w:r>
            <w:r>
              <w:rPr>
                <w:rFonts w:hint="eastAsia" w:asciiTheme="minorHAnsi" w:hAnsiTheme="minorHAnsi" w:cstheme="minorBidi"/>
                <w:sz w:val="20"/>
                <w:lang w:val="en-IN" w:eastAsia="en-IN" w:bidi="ta-IN"/>
              </w:rPr>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pPr>
              <w:keepNext w:val="0"/>
              <w:keepLines w:val="0"/>
              <w:widowControl/>
              <w:suppressLineNumbers w:val="0"/>
              <w:spacing w:before="0" w:beforeAutospacing="0" w:after="0" w:afterAutospacing="0"/>
              <w:ind w:left="0" w:right="0"/>
              <w:rPr>
                <w:rFonts w:hint="eastAsia" w:ascii="Times New Roman" w:hAnsi="Times New Roman" w:cstheme="minorBidi"/>
                <w:sz w:val="20"/>
                <w:lang w:val="en-US" w:eastAsia="sv-SE" w:bidi="ta-IN"/>
              </w:rPr>
            </w:pPr>
          </w:p>
        </w:tc>
      </w:tr>
    </w:tbl>
    <w:p>
      <w:pPr>
        <w:spacing w:line="360" w:lineRule="auto"/>
        <w:rPr>
          <w:rFonts w:hint="default" w:ascii="Arial" w:hAnsi="Arial" w:cs="Arial" w:eastAsiaTheme="minorEastAsia"/>
          <w:bCs/>
          <w:szCs w:val="20"/>
          <w:lang w:val="en-US" w:eastAsia="zh-CN"/>
        </w:rPr>
      </w:pPr>
    </w:p>
    <w:p>
      <w:pPr>
        <w:spacing w:line="360" w:lineRule="auto"/>
        <w:rPr>
          <w:rFonts w:hint="default" w:ascii="Arial" w:hAnsi="Arial" w:cs="Arial"/>
          <w:lang w:val="en-US" w:eastAsia="zh-CN"/>
        </w:rPr>
      </w:pPr>
      <w:r>
        <w:rPr>
          <w:rFonts w:hint="default" w:ascii="Arial" w:hAnsi="Arial" w:cs="Arial"/>
          <w:lang w:val="en-US" w:eastAsia="zh-CN"/>
        </w:rPr>
        <w:t>From network’s point of view, as the S&amp;F Monitoring List is provided by network, if there is MT traffic for a UE, the network will not send the corresponding MT data outside the provided S&amp;F monitoring list as the satellites not in the list don’t h</w:t>
      </w:r>
      <w:r>
        <w:rPr>
          <w:rFonts w:hint="eastAsia" w:ascii="Arial" w:hAnsi="Arial" w:cs="Arial"/>
          <w:lang w:val="en-US" w:eastAsia="zh-CN"/>
        </w:rPr>
        <w:t>ave</w:t>
      </w:r>
      <w:r>
        <w:rPr>
          <w:rFonts w:hint="default" w:ascii="Arial" w:hAnsi="Arial" w:cs="Arial"/>
          <w:lang w:val="en-US" w:eastAsia="zh-CN"/>
        </w:rPr>
        <w:t xml:space="preserve"> the UE context and the Text in TS23.401 </w:t>
      </w:r>
      <w:r>
        <w:rPr>
          <w:rFonts w:hint="eastAsia" w:ascii="Arial" w:hAnsi="Arial" w:cs="Arial"/>
          <w:lang w:val="en-US" w:eastAsia="zh-CN"/>
        </w:rPr>
        <w:t xml:space="preserve">has </w:t>
      </w:r>
      <w:r>
        <w:rPr>
          <w:rFonts w:hint="default" w:ascii="Arial" w:hAnsi="Arial" w:cs="Arial"/>
          <w:lang w:val="en-US" w:eastAsia="zh-CN"/>
        </w:rPr>
        <w:t>define</w:t>
      </w:r>
      <w:r>
        <w:rPr>
          <w:rFonts w:hint="eastAsia" w:ascii="Arial" w:hAnsi="Arial" w:cs="Arial"/>
          <w:lang w:val="en-US" w:eastAsia="zh-CN"/>
        </w:rPr>
        <w:t>d</w:t>
      </w:r>
      <w:r>
        <w:rPr>
          <w:rFonts w:hint="default" w:ascii="Arial" w:hAnsi="Arial" w:cs="Arial"/>
          <w:lang w:val="en-US" w:eastAsia="zh-CN"/>
        </w:rPr>
        <w:t xml:space="preserve"> that the UE will try to recei</w:t>
      </w:r>
      <w:r>
        <w:rPr>
          <w:rFonts w:hint="eastAsia" w:ascii="Arial" w:hAnsi="Arial" w:cs="Arial"/>
          <w:lang w:val="en-US" w:eastAsia="zh-CN"/>
        </w:rPr>
        <w:t>v</w:t>
      </w:r>
      <w:r>
        <w:rPr>
          <w:rFonts w:hint="default" w:ascii="Arial" w:hAnsi="Arial" w:cs="Arial"/>
          <w:lang w:val="en-US" w:eastAsia="zh-CN"/>
        </w:rPr>
        <w:t xml:space="preserve">e MT data from the satellites in the list. So in this case, </w:t>
      </w:r>
      <w:r>
        <w:rPr>
          <w:rFonts w:hint="eastAsia" w:ascii="Arial" w:hAnsi="Arial" w:cs="Arial"/>
          <w:lang w:val="en-US" w:eastAsia="zh-CN"/>
        </w:rPr>
        <w:t>i</w:t>
      </w:r>
      <w:r>
        <w:rPr>
          <w:rFonts w:hint="default" w:ascii="Arial" w:hAnsi="Arial" w:eastAsia="等线" w:cs="Arial"/>
          <w:lang w:val="en-US" w:eastAsia="zh-CN" w:bidi="ta-IN"/>
        </w:rPr>
        <w:t xml:space="preserve">t is meaningful for </w:t>
      </w:r>
      <w:r>
        <w:rPr>
          <w:rFonts w:ascii="Arial" w:hAnsi="Arial" w:eastAsia="等线" w:cs="Arial"/>
          <w:lang w:val="en-US" w:eastAsia="zh-CN" w:bidi="ta-IN"/>
        </w:rPr>
        <w:t>the</w:t>
      </w:r>
      <w:r>
        <w:rPr>
          <w:rFonts w:hint="default" w:ascii="Arial" w:hAnsi="Arial" w:eastAsia="等线" w:cs="Arial"/>
          <w:lang w:val="en-US" w:eastAsia="zh-CN" w:bidi="ta-IN"/>
        </w:rPr>
        <w:t xml:space="preserve"> UE to relax the idle mode task when there is no satellite in the NAS configured satellite list is passing over </w:t>
      </w:r>
      <w:r>
        <w:rPr>
          <w:rFonts w:ascii="Arial" w:hAnsi="Arial" w:eastAsia="等线" w:cs="Arial"/>
          <w:lang w:val="en-US" w:eastAsia="zh-CN" w:bidi="ta-IN"/>
        </w:rPr>
        <w:t>the</w:t>
      </w:r>
      <w:r>
        <w:rPr>
          <w:rFonts w:hint="default" w:ascii="Arial" w:hAnsi="Arial" w:eastAsia="等线" w:cs="Arial"/>
          <w:lang w:val="en-US" w:eastAsia="zh-CN" w:bidi="ta-IN"/>
        </w:rPr>
        <w:t xml:space="preserve"> UE.</w:t>
      </w:r>
    </w:p>
    <w:p>
      <w:pPr>
        <w:pStyle w:val="94"/>
        <w:widowControl w:val="0"/>
        <w:numPr>
          <w:ilvl w:val="0"/>
          <w:numId w:val="0"/>
        </w:numPr>
        <w:tabs>
          <w:tab w:val="clear" w:pos="1304"/>
        </w:tabs>
        <w:spacing w:before="361" w:beforeLines="100" w:line="360" w:lineRule="auto"/>
        <w:rPr>
          <w:rFonts w:hint="default"/>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If the UE has determined that it is out of coverage of all the satellites in S&amp;F Monitoring list, the UE may further not need to perform any idle mode tasks related to NTN.</w:t>
      </w:r>
    </w:p>
    <w:p>
      <w:pPr>
        <w:rPr>
          <w:rFonts w:hint="default"/>
          <w:lang w:val="en-US" w:eastAsia="zh-CN"/>
        </w:rPr>
      </w:pPr>
    </w:p>
    <w:p>
      <w:pPr>
        <w:rPr>
          <w:rFonts w:hint="default"/>
          <w:lang w:val="en-US" w:eastAsia="zh-CN"/>
        </w:rPr>
      </w:pPr>
    </w:p>
    <w:p>
      <w:pPr>
        <w:pStyle w:val="3"/>
        <w:bidi w:val="0"/>
        <w:rPr>
          <w:rFonts w:hint="default"/>
          <w:lang w:val="en-US" w:eastAsia="zh-CN"/>
        </w:rPr>
      </w:pPr>
      <w:bookmarkStart w:id="2" w:name="OLE_LINK4"/>
      <w:r>
        <w:rPr>
          <w:rFonts w:hint="eastAsia"/>
          <w:lang w:val="en-US" w:eastAsia="zh-CN"/>
        </w:rPr>
        <w:t xml:space="preserve"> Paging optimization in Store&amp;Forward mode</w:t>
      </w:r>
    </w:p>
    <w:bookmarkEnd w:id="2"/>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whether there are MT data stored in advance for UEs or which UE needed to be paged and the paging demand is not random anymore. Some companies propose to provide a indication to tell UEs to stop monitoring paging if there are no MT data for power saving. However as the large coverage of a satellite, the number of UEs served by the satellite maybe huge, so the satellite doesn</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t store any UE</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DL data maybe a corner case, so we think this maybe not useful for power saving. However as the the paging demand is not random anymore and there will be no more DL data for UEs when the satellite works in S&amp;F mode as the feeder link is disconnected, if the UE keeps monitoring paging for some cycle or some times or some duration and if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There is no need to introduced an indication in system information for paging monitoring relaxation for cells operating in S&amp;F mode without any MT data.</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Cs w:val="0"/>
          <w:sz w:val="20"/>
          <w:szCs w:val="20"/>
          <w:lang w:val="en-US" w:eastAsia="zh-CN"/>
        </w:rPr>
      </w:pPr>
      <w:bookmarkStart w:id="3"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keeps </w:t>
      </w:r>
      <w:bookmarkStart w:id="9" w:name="_GoBack"/>
      <w:bookmarkEnd w:id="9"/>
      <w:r>
        <w:rPr>
          <w:rFonts w:hint="eastAsia" w:ascii="Arial" w:hAnsi="Arial" w:cs="Arial" w:eastAsiaTheme="minorEastAsia"/>
          <w:bCs w:val="0"/>
          <w:sz w:val="20"/>
          <w:szCs w:val="20"/>
          <w:lang w:val="en-US" w:eastAsia="zh-CN"/>
        </w:rPr>
        <w:t>monitoring paging for some cycle or some times or some duration and if no paging for the UE is received or the UE has monitored the paging for the UE, the UE stop monitoring paging in the rest time when the current satellite is in S&amp;F mode.</w:t>
      </w:r>
    </w:p>
    <w:bookmarkEnd w:id="3"/>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widowControl w:val="0"/>
        <w:numPr>
          <w:ilvl w:val="0"/>
          <w:numId w:val="0"/>
        </w:numPr>
        <w:tabs>
          <w:tab w:val="clear" w:pos="1304"/>
        </w:tabs>
        <w:spacing w:before="361" w:beforeLines="100" w:line="360" w:lineRule="auto"/>
        <w:rPr>
          <w:rFonts w:hint="default"/>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If the UE has determined that it is out of coverage of all the satellites in S&amp;F Monitoring list, the UE may further not need to perform any idle mode tasks related to NTN.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There is no need to introduced an indication in system information for paging monitoring relaxation for cells operating in S&amp;F mode without MT data.</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keeps monitoring paging for some cycle or some times or some duration and if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2"/>
        <w:keepLines/>
        <w:pBdr>
          <w:top w:val="single" w:color="auto" w:sz="12" w:space="3"/>
        </w:pBdr>
        <w:spacing w:before="240" w:after="180"/>
        <w:ind w:left="425" w:hanging="425"/>
        <w:jc w:val="both"/>
      </w:pPr>
      <w:bookmarkStart w:id="4" w:name="OLE_LINK60"/>
      <w:bookmarkStart w:id="5" w:name="OLE_LINK59"/>
      <w:bookmarkStart w:id="6" w:name="OLE_LINK47"/>
      <w:bookmarkStart w:id="7" w:name="OLE_LINK58"/>
      <w:bookmarkStart w:id="8" w:name="OLE_LINK48"/>
      <w:r>
        <w:t>Reference</w:t>
      </w:r>
      <w:bookmarkEnd w:id="4"/>
      <w:bookmarkEnd w:id="5"/>
      <w:bookmarkEnd w:id="6"/>
      <w:bookmarkEnd w:id="7"/>
      <w:bookmarkEnd w:id="8"/>
    </w:p>
    <w:p>
      <w:pPr>
        <w:pStyle w:val="11"/>
        <w:numPr>
          <w:ilvl w:val="0"/>
          <w:numId w:val="6"/>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Draft_RAN2_131_Meeting_Report_v1</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15A4B"/>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4C8A"/>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7432A"/>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30F15"/>
    <w:rsid w:val="00F41240"/>
    <w:rsid w:val="00F50393"/>
    <w:rsid w:val="00F6423B"/>
    <w:rsid w:val="00F712C5"/>
    <w:rsid w:val="00F738E5"/>
    <w:rsid w:val="00F7613A"/>
    <w:rsid w:val="00F836FC"/>
    <w:rsid w:val="00F84298"/>
    <w:rsid w:val="00F9005B"/>
    <w:rsid w:val="00F90922"/>
    <w:rsid w:val="00F9535B"/>
    <w:rsid w:val="00F960EE"/>
    <w:rsid w:val="00FD695D"/>
    <w:rsid w:val="01077606"/>
    <w:rsid w:val="011002B8"/>
    <w:rsid w:val="016E24A0"/>
    <w:rsid w:val="01900CAE"/>
    <w:rsid w:val="026A5194"/>
    <w:rsid w:val="02781DB7"/>
    <w:rsid w:val="027F1191"/>
    <w:rsid w:val="0304423A"/>
    <w:rsid w:val="035F60CC"/>
    <w:rsid w:val="03787214"/>
    <w:rsid w:val="03F47970"/>
    <w:rsid w:val="04044F9A"/>
    <w:rsid w:val="0502289B"/>
    <w:rsid w:val="050C0141"/>
    <w:rsid w:val="0550780F"/>
    <w:rsid w:val="06510970"/>
    <w:rsid w:val="06797CD3"/>
    <w:rsid w:val="06A00757"/>
    <w:rsid w:val="06DD0380"/>
    <w:rsid w:val="06FF294D"/>
    <w:rsid w:val="07EA6365"/>
    <w:rsid w:val="07EF5BD4"/>
    <w:rsid w:val="082F6FF7"/>
    <w:rsid w:val="08415DB4"/>
    <w:rsid w:val="08454AB2"/>
    <w:rsid w:val="084C139F"/>
    <w:rsid w:val="08A22A43"/>
    <w:rsid w:val="08B41C41"/>
    <w:rsid w:val="09185F68"/>
    <w:rsid w:val="094D21CC"/>
    <w:rsid w:val="0A431C4F"/>
    <w:rsid w:val="0A6D15CC"/>
    <w:rsid w:val="0ABB7B40"/>
    <w:rsid w:val="0B6D7786"/>
    <w:rsid w:val="0BB75D7E"/>
    <w:rsid w:val="0BCE611C"/>
    <w:rsid w:val="0CD030E2"/>
    <w:rsid w:val="0D860A22"/>
    <w:rsid w:val="0F417E38"/>
    <w:rsid w:val="0F7B35C2"/>
    <w:rsid w:val="101E104A"/>
    <w:rsid w:val="103C0B3D"/>
    <w:rsid w:val="108123D4"/>
    <w:rsid w:val="10C66D19"/>
    <w:rsid w:val="10F1567B"/>
    <w:rsid w:val="12105415"/>
    <w:rsid w:val="126256E5"/>
    <w:rsid w:val="13070C92"/>
    <w:rsid w:val="13BE4108"/>
    <w:rsid w:val="13C70AD4"/>
    <w:rsid w:val="14926ED8"/>
    <w:rsid w:val="15215CC8"/>
    <w:rsid w:val="15462052"/>
    <w:rsid w:val="157161A0"/>
    <w:rsid w:val="15CE2EF7"/>
    <w:rsid w:val="15DE1242"/>
    <w:rsid w:val="15FF1ACA"/>
    <w:rsid w:val="166C39B7"/>
    <w:rsid w:val="16AA6D34"/>
    <w:rsid w:val="176647AC"/>
    <w:rsid w:val="179A1B0C"/>
    <w:rsid w:val="198E0015"/>
    <w:rsid w:val="1A5A53F0"/>
    <w:rsid w:val="1ABB6560"/>
    <w:rsid w:val="1B1C400D"/>
    <w:rsid w:val="1B445D6E"/>
    <w:rsid w:val="1B59397D"/>
    <w:rsid w:val="1C0356B8"/>
    <w:rsid w:val="1C3F0278"/>
    <w:rsid w:val="1C7B4CA3"/>
    <w:rsid w:val="1CA1384F"/>
    <w:rsid w:val="1D802CEA"/>
    <w:rsid w:val="1DBA2382"/>
    <w:rsid w:val="1E0B7CB6"/>
    <w:rsid w:val="1E523033"/>
    <w:rsid w:val="1EF507C4"/>
    <w:rsid w:val="1F045CEA"/>
    <w:rsid w:val="1F2C7D23"/>
    <w:rsid w:val="1FAF7026"/>
    <w:rsid w:val="20462FD7"/>
    <w:rsid w:val="213B7192"/>
    <w:rsid w:val="21CD368A"/>
    <w:rsid w:val="221016C7"/>
    <w:rsid w:val="22286050"/>
    <w:rsid w:val="224B0103"/>
    <w:rsid w:val="228D678C"/>
    <w:rsid w:val="22A27F45"/>
    <w:rsid w:val="23967BC1"/>
    <w:rsid w:val="23B51E42"/>
    <w:rsid w:val="23BF020B"/>
    <w:rsid w:val="24805F2B"/>
    <w:rsid w:val="24966A58"/>
    <w:rsid w:val="24E86231"/>
    <w:rsid w:val="25420D4C"/>
    <w:rsid w:val="26131534"/>
    <w:rsid w:val="26672625"/>
    <w:rsid w:val="266E6283"/>
    <w:rsid w:val="26C4064C"/>
    <w:rsid w:val="26F53B52"/>
    <w:rsid w:val="273C2AE6"/>
    <w:rsid w:val="275C59D5"/>
    <w:rsid w:val="27E9536C"/>
    <w:rsid w:val="282B7F1A"/>
    <w:rsid w:val="282E6418"/>
    <w:rsid w:val="28514B4F"/>
    <w:rsid w:val="28B35423"/>
    <w:rsid w:val="28C825BA"/>
    <w:rsid w:val="2A6D06FD"/>
    <w:rsid w:val="2AB35BEB"/>
    <w:rsid w:val="2B05301C"/>
    <w:rsid w:val="2B4D6C71"/>
    <w:rsid w:val="2BB20F28"/>
    <w:rsid w:val="2BC97744"/>
    <w:rsid w:val="2BDF7690"/>
    <w:rsid w:val="2C167DFF"/>
    <w:rsid w:val="2C5E3FAA"/>
    <w:rsid w:val="2C9014EE"/>
    <w:rsid w:val="2DF85D92"/>
    <w:rsid w:val="2E301EAC"/>
    <w:rsid w:val="2E32555D"/>
    <w:rsid w:val="2E3E1AA5"/>
    <w:rsid w:val="2EB13602"/>
    <w:rsid w:val="2EF35F77"/>
    <w:rsid w:val="2FBB4EF9"/>
    <w:rsid w:val="2FC63C8F"/>
    <w:rsid w:val="2FE018AF"/>
    <w:rsid w:val="30367260"/>
    <w:rsid w:val="30706AD8"/>
    <w:rsid w:val="3081699D"/>
    <w:rsid w:val="30AD73A5"/>
    <w:rsid w:val="329B7C99"/>
    <w:rsid w:val="32C77F8C"/>
    <w:rsid w:val="32CB387D"/>
    <w:rsid w:val="32D55AB9"/>
    <w:rsid w:val="335B0D8A"/>
    <w:rsid w:val="338A01DA"/>
    <w:rsid w:val="33B41D34"/>
    <w:rsid w:val="33EF0217"/>
    <w:rsid w:val="34AD231B"/>
    <w:rsid w:val="34D1330B"/>
    <w:rsid w:val="356754B7"/>
    <w:rsid w:val="35A53430"/>
    <w:rsid w:val="36883DF7"/>
    <w:rsid w:val="36C259C4"/>
    <w:rsid w:val="37426E6E"/>
    <w:rsid w:val="38460C29"/>
    <w:rsid w:val="38486C88"/>
    <w:rsid w:val="38495BA5"/>
    <w:rsid w:val="386C7461"/>
    <w:rsid w:val="388B34B6"/>
    <w:rsid w:val="393B37B4"/>
    <w:rsid w:val="398C3D40"/>
    <w:rsid w:val="3A3A09C6"/>
    <w:rsid w:val="3B2A6D35"/>
    <w:rsid w:val="3B8D13D0"/>
    <w:rsid w:val="3B957525"/>
    <w:rsid w:val="3BE514B4"/>
    <w:rsid w:val="3C7A0817"/>
    <w:rsid w:val="3CBF641E"/>
    <w:rsid w:val="3CD70242"/>
    <w:rsid w:val="3E2248D8"/>
    <w:rsid w:val="3E7D428C"/>
    <w:rsid w:val="3F2349E0"/>
    <w:rsid w:val="3F415725"/>
    <w:rsid w:val="3FE0616F"/>
    <w:rsid w:val="4016756E"/>
    <w:rsid w:val="40450BA3"/>
    <w:rsid w:val="40E05B05"/>
    <w:rsid w:val="41D14C1D"/>
    <w:rsid w:val="42353253"/>
    <w:rsid w:val="435F628D"/>
    <w:rsid w:val="43804F31"/>
    <w:rsid w:val="43D40D98"/>
    <w:rsid w:val="43F61ADA"/>
    <w:rsid w:val="440B0645"/>
    <w:rsid w:val="44DE5FA3"/>
    <w:rsid w:val="454E5FD4"/>
    <w:rsid w:val="45B063D8"/>
    <w:rsid w:val="46153532"/>
    <w:rsid w:val="465D211C"/>
    <w:rsid w:val="46682B04"/>
    <w:rsid w:val="46F047E7"/>
    <w:rsid w:val="470C53DE"/>
    <w:rsid w:val="473E6BD3"/>
    <w:rsid w:val="4779366F"/>
    <w:rsid w:val="47B338A9"/>
    <w:rsid w:val="47C8103D"/>
    <w:rsid w:val="47EC7853"/>
    <w:rsid w:val="481353E1"/>
    <w:rsid w:val="482B0659"/>
    <w:rsid w:val="486E62C9"/>
    <w:rsid w:val="487E35EE"/>
    <w:rsid w:val="487E4912"/>
    <w:rsid w:val="48B061A5"/>
    <w:rsid w:val="48F165EB"/>
    <w:rsid w:val="49AC5F86"/>
    <w:rsid w:val="49BF2450"/>
    <w:rsid w:val="49D966E1"/>
    <w:rsid w:val="49F62F33"/>
    <w:rsid w:val="4A7D62F8"/>
    <w:rsid w:val="4AD37F43"/>
    <w:rsid w:val="4BD9044D"/>
    <w:rsid w:val="4C1704E0"/>
    <w:rsid w:val="4C6007CC"/>
    <w:rsid w:val="4CDB457B"/>
    <w:rsid w:val="4D5702DE"/>
    <w:rsid w:val="4D8917CF"/>
    <w:rsid w:val="4E635896"/>
    <w:rsid w:val="4ED9736A"/>
    <w:rsid w:val="4EFC5EF9"/>
    <w:rsid w:val="4F1F0E61"/>
    <w:rsid w:val="4FB27051"/>
    <w:rsid w:val="4FF83CE6"/>
    <w:rsid w:val="500C72C9"/>
    <w:rsid w:val="50F26F6A"/>
    <w:rsid w:val="51951B3D"/>
    <w:rsid w:val="51CF7043"/>
    <w:rsid w:val="5215436D"/>
    <w:rsid w:val="523C2424"/>
    <w:rsid w:val="54021398"/>
    <w:rsid w:val="541C0790"/>
    <w:rsid w:val="55EB6E4E"/>
    <w:rsid w:val="561B49FC"/>
    <w:rsid w:val="56561485"/>
    <w:rsid w:val="56B44089"/>
    <w:rsid w:val="570B4B6D"/>
    <w:rsid w:val="57880F9B"/>
    <w:rsid w:val="58196C7F"/>
    <w:rsid w:val="58327856"/>
    <w:rsid w:val="58AC7F48"/>
    <w:rsid w:val="59A4172A"/>
    <w:rsid w:val="59FE16F7"/>
    <w:rsid w:val="5A0B344B"/>
    <w:rsid w:val="5A8C74D3"/>
    <w:rsid w:val="5AC258BA"/>
    <w:rsid w:val="5C0031E7"/>
    <w:rsid w:val="5C471A29"/>
    <w:rsid w:val="5C481980"/>
    <w:rsid w:val="5CEE0CA7"/>
    <w:rsid w:val="5D474464"/>
    <w:rsid w:val="5EE9029B"/>
    <w:rsid w:val="5EF10D06"/>
    <w:rsid w:val="5F273984"/>
    <w:rsid w:val="5F5B5F3E"/>
    <w:rsid w:val="5F7C0711"/>
    <w:rsid w:val="5FE4114B"/>
    <w:rsid w:val="5FEF6ACE"/>
    <w:rsid w:val="60B34005"/>
    <w:rsid w:val="60E953AA"/>
    <w:rsid w:val="614420B6"/>
    <w:rsid w:val="61483DCA"/>
    <w:rsid w:val="61786A80"/>
    <w:rsid w:val="61BA59D1"/>
    <w:rsid w:val="61DC00C2"/>
    <w:rsid w:val="62010AD3"/>
    <w:rsid w:val="62102E7C"/>
    <w:rsid w:val="62590312"/>
    <w:rsid w:val="62815194"/>
    <w:rsid w:val="62BD5600"/>
    <w:rsid w:val="630A7F69"/>
    <w:rsid w:val="630E0C34"/>
    <w:rsid w:val="63E1421B"/>
    <w:rsid w:val="64034EA4"/>
    <w:rsid w:val="64826ABA"/>
    <w:rsid w:val="64C862AF"/>
    <w:rsid w:val="65090514"/>
    <w:rsid w:val="650A5C6D"/>
    <w:rsid w:val="65184C81"/>
    <w:rsid w:val="65186C5A"/>
    <w:rsid w:val="651923CA"/>
    <w:rsid w:val="654D2C0D"/>
    <w:rsid w:val="656D337B"/>
    <w:rsid w:val="65BD1739"/>
    <w:rsid w:val="66E37CF1"/>
    <w:rsid w:val="673544AA"/>
    <w:rsid w:val="67DC720C"/>
    <w:rsid w:val="67E92655"/>
    <w:rsid w:val="681E2D2C"/>
    <w:rsid w:val="68377AAD"/>
    <w:rsid w:val="687738C2"/>
    <w:rsid w:val="688B7936"/>
    <w:rsid w:val="68C77475"/>
    <w:rsid w:val="695068C2"/>
    <w:rsid w:val="69701295"/>
    <w:rsid w:val="69A27629"/>
    <w:rsid w:val="6A147D7B"/>
    <w:rsid w:val="6A510508"/>
    <w:rsid w:val="6A9D7635"/>
    <w:rsid w:val="6ABC46FD"/>
    <w:rsid w:val="6B1667F8"/>
    <w:rsid w:val="6B233CE6"/>
    <w:rsid w:val="6B8D221A"/>
    <w:rsid w:val="6BBB6ACB"/>
    <w:rsid w:val="6BF4272A"/>
    <w:rsid w:val="6C750DEF"/>
    <w:rsid w:val="6CE858CE"/>
    <w:rsid w:val="6D16046B"/>
    <w:rsid w:val="6D8E2554"/>
    <w:rsid w:val="6D9A5E61"/>
    <w:rsid w:val="6E0D1FE7"/>
    <w:rsid w:val="6E8F34BC"/>
    <w:rsid w:val="6EFF5A76"/>
    <w:rsid w:val="6F740CE2"/>
    <w:rsid w:val="6FA26AF9"/>
    <w:rsid w:val="6FCF55AF"/>
    <w:rsid w:val="70436DC4"/>
    <w:rsid w:val="7055318F"/>
    <w:rsid w:val="70871801"/>
    <w:rsid w:val="70B37E03"/>
    <w:rsid w:val="70E25954"/>
    <w:rsid w:val="711073DA"/>
    <w:rsid w:val="71314C8A"/>
    <w:rsid w:val="71B9201A"/>
    <w:rsid w:val="72402019"/>
    <w:rsid w:val="724E3DF7"/>
    <w:rsid w:val="727A4FD4"/>
    <w:rsid w:val="731D23A2"/>
    <w:rsid w:val="73707DE3"/>
    <w:rsid w:val="741D4E81"/>
    <w:rsid w:val="74201914"/>
    <w:rsid w:val="745C718B"/>
    <w:rsid w:val="74F97BE7"/>
    <w:rsid w:val="75A722D7"/>
    <w:rsid w:val="76411C77"/>
    <w:rsid w:val="76700534"/>
    <w:rsid w:val="76A345D7"/>
    <w:rsid w:val="76C9285A"/>
    <w:rsid w:val="77760276"/>
    <w:rsid w:val="78911E34"/>
    <w:rsid w:val="78A63BC7"/>
    <w:rsid w:val="7A4B5FBA"/>
    <w:rsid w:val="7A5E174B"/>
    <w:rsid w:val="7A9C4D88"/>
    <w:rsid w:val="7A9C7192"/>
    <w:rsid w:val="7B33624C"/>
    <w:rsid w:val="7B511E1D"/>
    <w:rsid w:val="7B6332FB"/>
    <w:rsid w:val="7B826359"/>
    <w:rsid w:val="7BF20CB4"/>
    <w:rsid w:val="7C330D5B"/>
    <w:rsid w:val="7C3C5ED5"/>
    <w:rsid w:val="7CB92E75"/>
    <w:rsid w:val="7CD12EC8"/>
    <w:rsid w:val="7D1F14F2"/>
    <w:rsid w:val="7D86797B"/>
    <w:rsid w:val="7D8C0969"/>
    <w:rsid w:val="7DF4667A"/>
    <w:rsid w:val="7EC92764"/>
    <w:rsid w:val="7F3D09D5"/>
    <w:rsid w:val="7F40220C"/>
    <w:rsid w:val="7FDE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47</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2025-09-30T03:09:38Z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